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21" w:rsidRDefault="003F5721" w:rsidP="003F5721">
      <w:pPr>
        <w:pBdr>
          <w:bottom w:val="single" w:sz="4" w:space="1" w:color="auto"/>
        </w:pBdr>
        <w:tabs>
          <w:tab w:val="right" w:pos="9000"/>
        </w:tabs>
      </w:pPr>
      <w:r>
        <w:t>November 2021</w:t>
      </w:r>
      <w:r>
        <w:tab/>
        <w:t>4:160</w:t>
      </w:r>
    </w:p>
    <w:p w:rsidR="003F5721" w:rsidRDefault="003F5721" w:rsidP="003F5721">
      <w:pPr>
        <w:tabs>
          <w:tab w:val="right" w:pos="9000"/>
        </w:tabs>
      </w:pPr>
    </w:p>
    <w:p w:rsidR="003F5721" w:rsidRDefault="003F5721" w:rsidP="003F5721">
      <w:pPr>
        <w:pStyle w:val="Heading1"/>
        <w:keepNext w:val="0"/>
      </w:pPr>
      <w:r>
        <w:t>Operational Services</w:t>
      </w:r>
    </w:p>
    <w:p w:rsidR="003F5721" w:rsidRDefault="003F5721" w:rsidP="003F5721">
      <w:pPr>
        <w:pStyle w:val="Heading2"/>
        <w:keepNext w:val="0"/>
      </w:pPr>
      <w:r>
        <w:t>Environmental Quality of Buildings and Grounds</w:t>
      </w:r>
      <w:r>
        <w:rPr>
          <w:b w:val="0"/>
          <w:bCs/>
          <w:u w:val="none"/>
        </w:rPr>
        <w:t xml:space="preserve"> </w:t>
      </w:r>
    </w:p>
    <w:p w:rsidR="003F5721" w:rsidRDefault="003F5721" w:rsidP="003F5721">
      <w:pPr>
        <w:pStyle w:val="BodyText"/>
      </w:pPr>
      <w:r>
        <w:t>The Superintendent shall take all reasonable measures to protect: (1) the safety of District personnel, students, and visitors on District premises from risks associated with hazardous materials, and</w:t>
      </w:r>
      <w:r w:rsidRPr="00FE7CD7">
        <w:t xml:space="preserve"> </w:t>
      </w:r>
      <w:r>
        <w:t xml:space="preserve">(2) the environmental quality of the District’s buildings and grounds. </w:t>
      </w:r>
    </w:p>
    <w:p w:rsidR="003F5721" w:rsidRDefault="003F5721" w:rsidP="003F5721">
      <w:pPr>
        <w:pStyle w:val="SUBHEADING"/>
      </w:pPr>
      <w:r>
        <w:t>Pesticides</w:t>
      </w:r>
    </w:p>
    <w:p w:rsidR="003F5721" w:rsidRDefault="003F5721" w:rsidP="003F5721">
      <w:pPr>
        <w:pStyle w:val="BodyText"/>
      </w:pPr>
      <w:r>
        <w:t>R</w:t>
      </w:r>
      <w:r w:rsidRPr="00FB7BF1">
        <w:t>estricted use pesticide</w:t>
      </w:r>
      <w:r>
        <w:t>s will not be applied</w:t>
      </w:r>
      <w:r w:rsidRPr="00FB7BF1">
        <w:t xml:space="preserve"> on or within 500 feet of school property during normal </w:t>
      </w:r>
      <w:r>
        <w:t xml:space="preserve">school </w:t>
      </w:r>
      <w:r w:rsidRPr="00FB7BF1">
        <w:t>hours</w:t>
      </w:r>
      <w:r>
        <w:t xml:space="preserve">. Before pesticides are used on District premises, the Superintendent or designee shall notify employees and parents/guardians of students as required by the Structural Pest Control Act, 225 ILCS 235/, and the Lawn Care Products Application and Notice Act, 415 ILCS 65/. </w:t>
      </w:r>
    </w:p>
    <w:p w:rsidR="003F5721" w:rsidRDefault="003F5721" w:rsidP="003F5721">
      <w:pPr>
        <w:pStyle w:val="SUBHEADING"/>
      </w:pPr>
      <w:r>
        <w:t>Coal Tar Sealant</w:t>
      </w:r>
      <w:r w:rsidRPr="007915B6">
        <w:rPr>
          <w:u w:val="none"/>
        </w:rPr>
        <w:t xml:space="preserve"> </w:t>
      </w:r>
    </w:p>
    <w:p w:rsidR="003F5721" w:rsidRDefault="003F5721" w:rsidP="003F5721">
      <w:pPr>
        <w:pStyle w:val="BodyText"/>
      </w:pPr>
      <w:r>
        <w:t xml:space="preserve">Beginning on 1-1-23, before coal </w:t>
      </w:r>
      <w:r w:rsidRPr="00EB0C37">
        <w:t>tar</w:t>
      </w:r>
      <w:r>
        <w:t>-</w:t>
      </w:r>
      <w:r w:rsidRPr="00EB0C37">
        <w:t>based sealant product</w:t>
      </w:r>
      <w:r>
        <w:t>s or</w:t>
      </w:r>
      <w:r w:rsidRPr="00EB0C37">
        <w:t xml:space="preserve"> high polycyclic aromatic hydrocarbon sealant</w:t>
      </w:r>
      <w:r>
        <w:t xml:space="preserve"> </w:t>
      </w:r>
      <w:r w:rsidRPr="00EB0C37">
        <w:t>product</w:t>
      </w:r>
      <w:r>
        <w:t xml:space="preserve">s are used on District premises, the Superintendent or designee shall notify employees and parents/guardians of students in writing or by telephone as required by the </w:t>
      </w:r>
      <w:r w:rsidRPr="00EB0C37">
        <w:t>Coal Tar Sealant Disclosure Act</w:t>
      </w:r>
      <w:r>
        <w:t>.</w:t>
      </w:r>
    </w:p>
    <w:p w:rsidR="003F5721" w:rsidRDefault="003F5721" w:rsidP="003F5721">
      <w:pPr>
        <w:pStyle w:val="LEGALREF"/>
      </w:pPr>
      <w:r>
        <w:t>LEGAL REF.:</w:t>
      </w:r>
      <w:r>
        <w:tab/>
      </w:r>
      <w:r w:rsidRPr="00EB6DDA">
        <w:t>105 ILCS 5/10-20.17a; 5/10-20.48.</w:t>
      </w:r>
    </w:p>
    <w:p w:rsidR="003F5721" w:rsidRPr="003114F9" w:rsidRDefault="003F5721" w:rsidP="003F5721">
      <w:pPr>
        <w:pStyle w:val="LEGALREFINDENT"/>
      </w:pPr>
      <w:proofErr w:type="gramStart"/>
      <w:r w:rsidRPr="003114F9">
        <w:t xml:space="preserve">29 C.F.R. §1910.1030, Occupational Exposure to </w:t>
      </w:r>
      <w:proofErr w:type="spellStart"/>
      <w:r w:rsidRPr="003114F9">
        <w:t>Bloodborne</w:t>
      </w:r>
      <w:proofErr w:type="spellEnd"/>
      <w:r w:rsidRPr="003114F9">
        <w:t xml:space="preserve"> Pathogens, as adopted by the Illinois Department </w:t>
      </w:r>
      <w:r w:rsidRPr="00F8251D">
        <w:t xml:space="preserve">of Labor, 56 </w:t>
      </w:r>
      <w:proofErr w:type="spellStart"/>
      <w:r w:rsidRPr="00F8251D">
        <w:t>Ill.Admin.Code</w:t>
      </w:r>
      <w:proofErr w:type="spellEnd"/>
      <w:r w:rsidRPr="00F8251D">
        <w:t xml:space="preserve"> §350.700(</w:t>
      </w:r>
      <w:r w:rsidRPr="00B8681B">
        <w:t>b).</w:t>
      </w:r>
      <w:proofErr w:type="gramEnd"/>
    </w:p>
    <w:p w:rsidR="003F5721" w:rsidRPr="00B8681B" w:rsidRDefault="003F5721" w:rsidP="003F5721">
      <w:pPr>
        <w:pStyle w:val="LEGALREFINDENT"/>
      </w:pPr>
      <w:proofErr w:type="gramStart"/>
      <w:r w:rsidRPr="003114F9">
        <w:t xml:space="preserve">29 C.F.R. §1910.1200, </w:t>
      </w:r>
      <w:r w:rsidRPr="00F8251D">
        <w:t>Occupational Safety and Health Administration Hazard Communication Standards,</w:t>
      </w:r>
      <w:r w:rsidRPr="00B8681B">
        <w:t xml:space="preserve"> as adopted by 820 ILCS 255/1.5, Toxic Substances Disclosure to Employees Act.</w:t>
      </w:r>
      <w:proofErr w:type="gramEnd"/>
    </w:p>
    <w:p w:rsidR="003F5721" w:rsidRDefault="003F5721" w:rsidP="003F5721">
      <w:pPr>
        <w:pStyle w:val="LEGALREFINDENT"/>
      </w:pPr>
      <w:proofErr w:type="gramStart"/>
      <w:r>
        <w:t>20 ILCS 3130/, Green Buildings Act.</w:t>
      </w:r>
      <w:proofErr w:type="gramEnd"/>
    </w:p>
    <w:p w:rsidR="003F5721" w:rsidRDefault="003F5721" w:rsidP="003F5721">
      <w:pPr>
        <w:pStyle w:val="LEGALREFINDENT"/>
      </w:pPr>
      <w:proofErr w:type="gramStart"/>
      <w:r>
        <w:t>105 ILCS 135/, Toxic Art Supplies in Schools Act.</w:t>
      </w:r>
      <w:proofErr w:type="gramEnd"/>
    </w:p>
    <w:p w:rsidR="003F5721" w:rsidRDefault="003F5721" w:rsidP="003F5721">
      <w:pPr>
        <w:pStyle w:val="LEGALREFINDENT"/>
      </w:pPr>
      <w:proofErr w:type="gramStart"/>
      <w:r>
        <w:t>105 ILCS 140/, Green Cleaning School Act.</w:t>
      </w:r>
      <w:proofErr w:type="gramEnd"/>
    </w:p>
    <w:p w:rsidR="003F5721" w:rsidRDefault="003F5721" w:rsidP="003F5721">
      <w:pPr>
        <w:pStyle w:val="LEGALREFINDENT"/>
      </w:pPr>
      <w:proofErr w:type="gramStart"/>
      <w:r>
        <w:t>225 ILCS 235/, Structural Pest Control Act.</w:t>
      </w:r>
      <w:proofErr w:type="gramEnd"/>
    </w:p>
    <w:p w:rsidR="003F5721" w:rsidRDefault="003F5721" w:rsidP="003F5721">
      <w:pPr>
        <w:pStyle w:val="LEGALREFINDENT"/>
      </w:pPr>
      <w:r w:rsidRPr="00FB7BF1">
        <w:t>415 ILCS 60/14</w:t>
      </w:r>
      <w:r>
        <w:t xml:space="preserve">, </w:t>
      </w:r>
      <w:r w:rsidRPr="00FB7BF1">
        <w:t>Illinois Pesticide Act</w:t>
      </w:r>
      <w:r>
        <w:t>.</w:t>
      </w:r>
    </w:p>
    <w:p w:rsidR="003F5721" w:rsidRDefault="003F5721" w:rsidP="003F5721">
      <w:pPr>
        <w:pStyle w:val="LEGALREFINDENT"/>
      </w:pPr>
      <w:proofErr w:type="gramStart"/>
      <w:r>
        <w:t>415 ILCS 65/, Lawn Care Products Application and Notice Act.</w:t>
      </w:r>
      <w:proofErr w:type="gramEnd"/>
    </w:p>
    <w:p w:rsidR="003F5721" w:rsidRDefault="003F5721" w:rsidP="003F5721">
      <w:pPr>
        <w:pStyle w:val="LEGALREFINDENT"/>
      </w:pPr>
      <w:proofErr w:type="gramStart"/>
      <w:r>
        <w:t xml:space="preserve">410 ILCS 170/, </w:t>
      </w:r>
      <w:r w:rsidRPr="00EB0C37">
        <w:t>Coal Tar Sealant Disclosure Act</w:t>
      </w:r>
      <w:r>
        <w:t>.</w:t>
      </w:r>
      <w:proofErr w:type="gramEnd"/>
    </w:p>
    <w:p w:rsidR="003F5721" w:rsidRDefault="003F5721" w:rsidP="003F5721">
      <w:pPr>
        <w:pStyle w:val="LEGALREFINDENT"/>
      </w:pPr>
      <w:proofErr w:type="gramStart"/>
      <w:r w:rsidRPr="00F011E3">
        <w:t>820 ILCS 255/</w:t>
      </w:r>
      <w:r>
        <w:t xml:space="preserve">, </w:t>
      </w:r>
      <w:r w:rsidRPr="00F011E3">
        <w:t>Toxic Substances Disclosure to Employees Act</w:t>
      </w:r>
      <w:r>
        <w:t>.</w:t>
      </w:r>
      <w:proofErr w:type="gramEnd"/>
      <w:r w:rsidRPr="00F011E3">
        <w:t xml:space="preserve"> (</w:t>
      </w:r>
      <w:proofErr w:type="gramStart"/>
      <w:r w:rsidRPr="003114F9">
        <w:rPr>
          <w:i/>
        </w:rPr>
        <w:t>inoperative</w:t>
      </w:r>
      <w:proofErr w:type="gramEnd"/>
      <w:r w:rsidRPr="00F011E3">
        <w:t>)</w:t>
      </w:r>
    </w:p>
    <w:p w:rsidR="003F5721" w:rsidRDefault="003F5721" w:rsidP="003F5721">
      <w:pPr>
        <w:pStyle w:val="LEGALREFINDENT"/>
      </w:pPr>
      <w:proofErr w:type="gramStart"/>
      <w:r>
        <w:t xml:space="preserve">23 </w:t>
      </w:r>
      <w:proofErr w:type="spellStart"/>
      <w:r>
        <w:t>Ill.Admin.Code</w:t>
      </w:r>
      <w:proofErr w:type="spellEnd"/>
      <w:r>
        <w:t xml:space="preserve"> §1.330.</w:t>
      </w:r>
      <w:proofErr w:type="gramEnd"/>
    </w:p>
    <w:p w:rsidR="003F5721" w:rsidRDefault="003F5721" w:rsidP="003F5721">
      <w:pPr>
        <w:pStyle w:val="CROSSREF"/>
      </w:pPr>
      <w:r>
        <w:t>CROSS REF.:</w:t>
      </w:r>
      <w:r>
        <w:tab/>
        <w:t>4:150 (</w:t>
      </w:r>
      <w:r w:rsidRPr="00F037E4">
        <w:t>Facility Management and Building Programs</w:t>
      </w:r>
      <w:r>
        <w:t>),</w:t>
      </w:r>
      <w:r w:rsidRPr="00F037E4">
        <w:t xml:space="preserve"> </w:t>
      </w:r>
      <w:r>
        <w:t>4:170 (Safety)</w:t>
      </w:r>
    </w:p>
    <w:p w:rsidR="003F5721" w:rsidRPr="003D7380" w:rsidRDefault="003F5721" w:rsidP="003F5721">
      <w:pPr>
        <w:pStyle w:val="CROSSREF"/>
      </w:pPr>
      <w:proofErr w:type="gramStart"/>
      <w:r>
        <w:t>ADOPTED.:</w:t>
      </w:r>
      <w:proofErr w:type="gramEnd"/>
      <w:r>
        <w:tab/>
        <w:t>January 13, 2021</w:t>
      </w:r>
    </w:p>
    <w:p w:rsidR="003F5721" w:rsidRDefault="003F5721" w:rsidP="003F5721">
      <w:pPr>
        <w:pStyle w:val="Header"/>
        <w:pBdr>
          <w:bottom w:val="single" w:sz="4" w:space="1" w:color="auto"/>
        </w:pBdr>
        <w:tabs>
          <w:tab w:val="clear" w:pos="4320"/>
          <w:tab w:val="clear" w:pos="8640"/>
          <w:tab w:val="right" w:pos="9000"/>
        </w:tabs>
      </w:pPr>
    </w:p>
    <w:p w:rsidR="003F5721" w:rsidRDefault="003F5721" w:rsidP="003F5721">
      <w:pPr>
        <w:pStyle w:val="Header"/>
        <w:pBdr>
          <w:bottom w:val="single" w:sz="4" w:space="1" w:color="auto"/>
        </w:pBdr>
        <w:tabs>
          <w:tab w:val="clear" w:pos="4320"/>
          <w:tab w:val="clear" w:pos="8640"/>
          <w:tab w:val="right" w:pos="9000"/>
        </w:tabs>
      </w:pPr>
    </w:p>
    <w:p w:rsidR="003F5721" w:rsidRDefault="003F5721" w:rsidP="003F5721">
      <w:pPr>
        <w:pStyle w:val="Header"/>
        <w:pBdr>
          <w:bottom w:val="single" w:sz="4" w:space="1" w:color="auto"/>
        </w:pBdr>
        <w:tabs>
          <w:tab w:val="clear" w:pos="4320"/>
          <w:tab w:val="clear" w:pos="8640"/>
          <w:tab w:val="right" w:pos="9000"/>
        </w:tabs>
      </w:pPr>
    </w:p>
    <w:p w:rsidR="003F5721" w:rsidRDefault="003F5721" w:rsidP="003F5721">
      <w:pPr>
        <w:pStyle w:val="Header"/>
        <w:pBdr>
          <w:bottom w:val="single" w:sz="4" w:space="1" w:color="auto"/>
        </w:pBdr>
        <w:tabs>
          <w:tab w:val="clear" w:pos="4320"/>
          <w:tab w:val="clear" w:pos="8640"/>
          <w:tab w:val="right" w:pos="9000"/>
        </w:tabs>
      </w:pPr>
    </w:p>
    <w:p w:rsidR="003F5721" w:rsidRDefault="003F5721" w:rsidP="003F5721">
      <w:pPr>
        <w:pStyle w:val="Header"/>
        <w:pBdr>
          <w:bottom w:val="single" w:sz="4" w:space="1" w:color="auto"/>
        </w:pBdr>
        <w:tabs>
          <w:tab w:val="clear" w:pos="4320"/>
          <w:tab w:val="clear" w:pos="8640"/>
          <w:tab w:val="right" w:pos="9000"/>
        </w:tabs>
      </w:pPr>
    </w:p>
    <w:p w:rsidR="003F5721" w:rsidRDefault="003F5721" w:rsidP="003F5721">
      <w:pPr>
        <w:pStyle w:val="Header"/>
        <w:pBdr>
          <w:bottom w:val="single" w:sz="4" w:space="1" w:color="auto"/>
        </w:pBdr>
        <w:tabs>
          <w:tab w:val="clear" w:pos="4320"/>
          <w:tab w:val="clear" w:pos="8640"/>
          <w:tab w:val="right" w:pos="9000"/>
        </w:tabs>
      </w:pPr>
    </w:p>
    <w:p w:rsidR="003F5721" w:rsidRDefault="003F5721" w:rsidP="003F5721">
      <w:pPr>
        <w:pStyle w:val="Header"/>
        <w:pBdr>
          <w:bottom w:val="single" w:sz="4" w:space="1" w:color="auto"/>
        </w:pBdr>
        <w:tabs>
          <w:tab w:val="clear" w:pos="4320"/>
          <w:tab w:val="clear" w:pos="8640"/>
          <w:tab w:val="right" w:pos="9000"/>
        </w:tabs>
      </w:pPr>
    </w:p>
    <w:p w:rsidR="003F5721" w:rsidRDefault="003F5721" w:rsidP="003F5721">
      <w:pPr>
        <w:pStyle w:val="Header"/>
        <w:pBdr>
          <w:bottom w:val="single" w:sz="4" w:space="1" w:color="auto"/>
        </w:pBdr>
        <w:tabs>
          <w:tab w:val="clear" w:pos="4320"/>
          <w:tab w:val="clear" w:pos="8640"/>
          <w:tab w:val="right" w:pos="9000"/>
        </w:tabs>
      </w:pPr>
    </w:p>
    <w:p w:rsidR="003F5721" w:rsidRDefault="003F5721" w:rsidP="003F5721">
      <w:pPr>
        <w:pStyle w:val="Header"/>
        <w:pBdr>
          <w:bottom w:val="single" w:sz="4" w:space="1" w:color="auto"/>
        </w:pBdr>
        <w:tabs>
          <w:tab w:val="clear" w:pos="4320"/>
          <w:tab w:val="clear" w:pos="8640"/>
          <w:tab w:val="right" w:pos="9000"/>
        </w:tabs>
      </w:pPr>
    </w:p>
    <w:p w:rsidR="003F5721" w:rsidRDefault="003F5721" w:rsidP="003F5721">
      <w:pPr>
        <w:pStyle w:val="Header"/>
        <w:pBdr>
          <w:bottom w:val="single" w:sz="4" w:space="1" w:color="auto"/>
        </w:pBdr>
        <w:tabs>
          <w:tab w:val="clear" w:pos="4320"/>
          <w:tab w:val="clear" w:pos="8640"/>
          <w:tab w:val="right" w:pos="9000"/>
        </w:tabs>
      </w:pPr>
    </w:p>
    <w:p w:rsidR="003F5721" w:rsidRDefault="003F5721" w:rsidP="003F5721">
      <w:pPr>
        <w:pStyle w:val="Header"/>
        <w:pBdr>
          <w:bottom w:val="single" w:sz="4" w:space="1" w:color="auto"/>
        </w:pBdr>
        <w:tabs>
          <w:tab w:val="clear" w:pos="4320"/>
          <w:tab w:val="clear" w:pos="8640"/>
          <w:tab w:val="right" w:pos="9000"/>
        </w:tabs>
      </w:pPr>
      <w:r>
        <w:lastRenderedPageBreak/>
        <w:t>November 2021</w:t>
      </w:r>
      <w:r>
        <w:tab/>
        <w:t>4:165</w:t>
      </w:r>
    </w:p>
    <w:p w:rsidR="003F5721" w:rsidRDefault="003F5721" w:rsidP="003F5721">
      <w:pPr>
        <w:tabs>
          <w:tab w:val="right" w:pos="9000"/>
        </w:tabs>
      </w:pPr>
    </w:p>
    <w:p w:rsidR="003F5721" w:rsidRDefault="003F5721" w:rsidP="003F5721">
      <w:pPr>
        <w:pStyle w:val="Heading1"/>
      </w:pPr>
      <w:r>
        <w:t>Operational Services</w:t>
      </w:r>
    </w:p>
    <w:p w:rsidR="003F5721" w:rsidRDefault="003F5721" w:rsidP="003F5721">
      <w:pPr>
        <w:pStyle w:val="Heading2"/>
      </w:pPr>
      <w:r>
        <w:t>Awareness and Prevention of Child Sexual Abuse and Grooming Behaviors</w:t>
      </w:r>
      <w:r>
        <w:rPr>
          <w:b w:val="0"/>
          <w:bCs/>
          <w:u w:val="none"/>
        </w:rPr>
        <w:t xml:space="preserve"> </w:t>
      </w:r>
    </w:p>
    <w:p w:rsidR="003F5721" w:rsidRDefault="003F5721" w:rsidP="003F5721">
      <w:pPr>
        <w:pStyle w:val="BodyText"/>
      </w:pPr>
      <w:r>
        <w:t xml:space="preserve">Child sexual abuse and grooming behaviors </w:t>
      </w:r>
      <w:r w:rsidRPr="00D145CF">
        <w:t xml:space="preserve">harm </w:t>
      </w:r>
      <w:r>
        <w:t xml:space="preserve">students, their parents/guardians, </w:t>
      </w:r>
      <w:r w:rsidRPr="00D145CF">
        <w:t>the District’s environment</w:t>
      </w:r>
      <w:r>
        <w:t>,</w:t>
      </w:r>
      <w:r w:rsidRPr="00D145CF">
        <w:t xml:space="preserve"> </w:t>
      </w:r>
      <w:r>
        <w:t xml:space="preserve">its school communities, </w:t>
      </w:r>
      <w:r w:rsidRPr="00D145CF">
        <w:t xml:space="preserve">and </w:t>
      </w:r>
      <w:r>
        <w:t>the community at large</w:t>
      </w:r>
      <w:r w:rsidRPr="00D145CF">
        <w:t xml:space="preserve">, </w:t>
      </w:r>
      <w:r>
        <w:t xml:space="preserve">while </w:t>
      </w:r>
      <w:r w:rsidRPr="00D145CF">
        <w:t xml:space="preserve">diminishing </w:t>
      </w:r>
      <w:r>
        <w:t xml:space="preserve">a </w:t>
      </w:r>
      <w:r w:rsidRPr="00D145CF">
        <w:t>student</w:t>
      </w:r>
      <w:r>
        <w:t>’s</w:t>
      </w:r>
      <w:r w:rsidRPr="00D145CF">
        <w:t xml:space="preserve"> ability to learn. </w:t>
      </w:r>
      <w:r>
        <w:t xml:space="preserve">The Board has a responsibility and obligation to increase </w:t>
      </w:r>
      <w:r w:rsidRPr="00ED02D8">
        <w:t>awareness</w:t>
      </w:r>
      <w:r>
        <w:t xml:space="preserve"> and knowledge</w:t>
      </w:r>
      <w:r w:rsidRPr="00ED02D8">
        <w:t xml:space="preserve"> of</w:t>
      </w:r>
      <w:r>
        <w:t>: (1)</w:t>
      </w:r>
      <w:r w:rsidRPr="00ED02D8">
        <w:t xml:space="preserve"> issues regarding </w:t>
      </w:r>
      <w:r>
        <w:t xml:space="preserve">child </w:t>
      </w:r>
      <w:r w:rsidRPr="00ED02D8">
        <w:t xml:space="preserve">sexual abuse, </w:t>
      </w:r>
      <w:r>
        <w:t xml:space="preserve">(2) </w:t>
      </w:r>
      <w:r w:rsidRPr="00ED02D8">
        <w:t>likely warning signs</w:t>
      </w:r>
      <w:r>
        <w:t xml:space="preserve"> that a child may be a victim of sexual abuse</w:t>
      </w:r>
      <w:r w:rsidRPr="00ED02D8">
        <w:t xml:space="preserve">, </w:t>
      </w:r>
      <w:r>
        <w:t xml:space="preserve">(3) </w:t>
      </w:r>
      <w:r w:rsidRPr="00ED02D8">
        <w:t xml:space="preserve">grooming behaviors related to </w:t>
      </w:r>
      <w:r>
        <w:t>child sexual abuse and grooming</w:t>
      </w:r>
      <w:r w:rsidRPr="00ED02D8">
        <w:t>,</w:t>
      </w:r>
      <w:r>
        <w:t xml:space="preserve"> (4) </w:t>
      </w:r>
      <w:r w:rsidRPr="00ED02D8">
        <w:t xml:space="preserve">how to report </w:t>
      </w:r>
      <w:r>
        <w:t>child sexual abuse, (5) appropriate relationships between District employees and students based upon State law, and (6) how to prevent child sexual abuse.</w:t>
      </w:r>
    </w:p>
    <w:p w:rsidR="003F5721" w:rsidRDefault="003F5721" w:rsidP="003F5721">
      <w:pPr>
        <w:pStyle w:val="BodyText"/>
      </w:pPr>
      <w:r>
        <w:t xml:space="preserve">To address the Board’s obligation to increase awareness and knowledge of these issues, prevent sexual abuse of children, and define prohibited grooming behaviors, </w:t>
      </w:r>
      <w:r w:rsidRPr="00D145CF">
        <w:t xml:space="preserve">the </w:t>
      </w:r>
      <w:r>
        <w:t xml:space="preserve">Superintendent or designee shall implement an </w:t>
      </w:r>
      <w:r w:rsidRPr="006907A7">
        <w:t>Awareness and Prev</w:t>
      </w:r>
      <w:r>
        <w:t>ention of Sexual Abuse and Grooming Behaviors Program. The Program will:</w:t>
      </w:r>
    </w:p>
    <w:p w:rsidR="003F5721" w:rsidRDefault="003F5721" w:rsidP="003F5721">
      <w:pPr>
        <w:pStyle w:val="LISTNUMBERDOUBLE"/>
        <w:numPr>
          <w:ilvl w:val="0"/>
          <w:numId w:val="7"/>
        </w:numPr>
        <w:ind w:left="720"/>
      </w:pPr>
      <w:r>
        <w:t>Educate students with:</w:t>
      </w:r>
    </w:p>
    <w:p w:rsidR="003F5721" w:rsidRDefault="003F5721" w:rsidP="003F5721">
      <w:pPr>
        <w:pStyle w:val="ListAlphaLower"/>
        <w:numPr>
          <w:ilvl w:val="0"/>
          <w:numId w:val="5"/>
        </w:numPr>
        <w:ind w:left="1080"/>
      </w:pPr>
      <w:r>
        <w:t xml:space="preserve">An age-appropriate and evidence-informed health and safety education curriculum that includes methods for how to report child sexual abuse and grooming behaviors to authorities, through policy 6:60, </w:t>
      </w:r>
      <w:r w:rsidRPr="00724AE6">
        <w:rPr>
          <w:i/>
        </w:rPr>
        <w:t>Curriculum</w:t>
      </w:r>
      <w:r>
        <w:rPr>
          <w:i/>
        </w:rPr>
        <w:t xml:space="preserve"> Content</w:t>
      </w:r>
      <w:r>
        <w:t xml:space="preserve">; </w:t>
      </w:r>
    </w:p>
    <w:p w:rsidR="003F5721" w:rsidRDefault="003F5721" w:rsidP="003F5721">
      <w:pPr>
        <w:pStyle w:val="ListAlphaLower"/>
        <w:numPr>
          <w:ilvl w:val="0"/>
          <w:numId w:val="5"/>
        </w:numPr>
        <w:ind w:left="1080"/>
      </w:pPr>
      <w:r>
        <w:t xml:space="preserve">Information in policy 7:250, </w:t>
      </w:r>
      <w:r w:rsidRPr="005146DA">
        <w:rPr>
          <w:i/>
        </w:rPr>
        <w:t>Student Support Services</w:t>
      </w:r>
      <w:r>
        <w:t>, about: (</w:t>
      </w:r>
      <w:proofErr w:type="spellStart"/>
      <w:r>
        <w:t>i</w:t>
      </w:r>
      <w:proofErr w:type="spellEnd"/>
      <w:r>
        <w:t>) District c</w:t>
      </w:r>
      <w:r w:rsidRPr="005146DA">
        <w:t xml:space="preserve">ounseling </w:t>
      </w:r>
      <w:r>
        <w:t>o</w:t>
      </w:r>
      <w:r w:rsidRPr="005146DA">
        <w:t xml:space="preserve">ptions, </w:t>
      </w:r>
      <w:r>
        <w:t>a</w:t>
      </w:r>
      <w:r w:rsidRPr="005146DA">
        <w:t xml:space="preserve">ssistance, and </w:t>
      </w:r>
      <w:r>
        <w:t>i</w:t>
      </w:r>
      <w:r w:rsidRPr="005146DA">
        <w:t>ntervention</w:t>
      </w:r>
      <w:r>
        <w:t xml:space="preserve"> for students who are victims of or affected by sexual abuse, and (ii) community-based Children’s Advocacy Centers and sexual assault crisis centers and how to access those serving the District. </w:t>
      </w:r>
    </w:p>
    <w:p w:rsidR="003F5721" w:rsidRDefault="003F5721" w:rsidP="003F5721">
      <w:pPr>
        <w:pStyle w:val="LISTNUMBERDOUBLE"/>
        <w:numPr>
          <w:ilvl w:val="0"/>
          <w:numId w:val="7"/>
        </w:numPr>
        <w:ind w:left="720"/>
      </w:pPr>
      <w:r>
        <w:t xml:space="preserve">Train District employees about child sexual abuse and grooming behaviors by January 31 of each school year with materials that include: </w:t>
      </w:r>
    </w:p>
    <w:p w:rsidR="003F5721" w:rsidRDefault="003F5721" w:rsidP="003F5721">
      <w:pPr>
        <w:pStyle w:val="ListAlphaLower"/>
        <w:numPr>
          <w:ilvl w:val="0"/>
          <w:numId w:val="6"/>
        </w:numPr>
        <w:ind w:left="1080"/>
      </w:pPr>
      <w:r>
        <w:t xml:space="preserve">A definition of prohibited grooming behaviors and boundary violations pursuant to policy 5:120, </w:t>
      </w:r>
      <w:r w:rsidRPr="00A104E4">
        <w:rPr>
          <w:i/>
        </w:rPr>
        <w:t>E</w:t>
      </w:r>
      <w:r>
        <w:rPr>
          <w:i/>
        </w:rPr>
        <w:t>mployee E</w:t>
      </w:r>
      <w:r w:rsidRPr="00A104E4">
        <w:rPr>
          <w:i/>
        </w:rPr>
        <w:t>thics</w:t>
      </w:r>
      <w:r>
        <w:rPr>
          <w:i/>
        </w:rPr>
        <w:t>; Conduct; and Conflict of Interest</w:t>
      </w:r>
      <w:r>
        <w:t xml:space="preserve">; </w:t>
      </w:r>
    </w:p>
    <w:p w:rsidR="003F5721" w:rsidRDefault="003F5721" w:rsidP="003F5721">
      <w:pPr>
        <w:pStyle w:val="ListAlphaLower"/>
        <w:numPr>
          <w:ilvl w:val="0"/>
          <w:numId w:val="6"/>
        </w:numPr>
        <w:ind w:left="1080"/>
      </w:pPr>
      <w:r>
        <w:t xml:space="preserve">Evidence-informed content on preventing, recognizing, reporting, and responding to child sexual abuse, grooming behaviors, and boundary violations pursuant to policies 2:260, </w:t>
      </w:r>
      <w:r>
        <w:rPr>
          <w:i/>
        </w:rPr>
        <w:t>Uniform Grievance Procedure</w:t>
      </w:r>
      <w:r>
        <w:t>;</w:t>
      </w:r>
      <w:r>
        <w:rPr>
          <w:i/>
        </w:rPr>
        <w:t xml:space="preserve"> </w:t>
      </w:r>
      <w:r>
        <w:t xml:space="preserve">2:265, </w:t>
      </w:r>
      <w:r>
        <w:rPr>
          <w:i/>
        </w:rPr>
        <w:t>Title IX Sexual Harassment Grievance Procedure</w:t>
      </w:r>
      <w:r>
        <w:t xml:space="preserve">; 5:90, </w:t>
      </w:r>
      <w:r>
        <w:rPr>
          <w:i/>
        </w:rPr>
        <w:t>Abused and Neglected Child Reporting</w:t>
      </w:r>
      <w:r>
        <w:t xml:space="preserve">; 5:100, </w:t>
      </w:r>
      <w:r>
        <w:rPr>
          <w:i/>
        </w:rPr>
        <w:t>Staff Development Program</w:t>
      </w:r>
      <w:r>
        <w:t xml:space="preserve">; and 5:120, </w:t>
      </w:r>
      <w:r>
        <w:rPr>
          <w:i/>
        </w:rPr>
        <w:t>Employee Ethics; Conduct; and Conflict of Interest</w:t>
      </w:r>
      <w:r>
        <w:t>;; and</w:t>
      </w:r>
    </w:p>
    <w:p w:rsidR="003F5721" w:rsidRDefault="003F5721" w:rsidP="003F5721">
      <w:pPr>
        <w:pStyle w:val="ListAlphaLower"/>
        <w:numPr>
          <w:ilvl w:val="0"/>
          <w:numId w:val="6"/>
        </w:numPr>
        <w:ind w:left="1080"/>
      </w:pPr>
      <w:r>
        <w:t>How to report child sexual abuse, grooming behaviors, and/or boundary violations</w:t>
      </w:r>
      <w:r w:rsidRPr="00202F83">
        <w:t xml:space="preserve"> </w:t>
      </w:r>
      <w:r>
        <w:t xml:space="preserve">pursuant to policies 2:260, </w:t>
      </w:r>
      <w:r>
        <w:rPr>
          <w:i/>
        </w:rPr>
        <w:t>Uniform Grievance Procedure</w:t>
      </w:r>
      <w:r w:rsidRPr="00FF44F9">
        <w:t xml:space="preserve">; </w:t>
      </w:r>
      <w:r>
        <w:t xml:space="preserve">2:265, </w:t>
      </w:r>
      <w:r>
        <w:rPr>
          <w:i/>
        </w:rPr>
        <w:t>Title IX Sexual Harassment Grievance Procedure</w:t>
      </w:r>
      <w:r>
        <w:t xml:space="preserve">; and 5:90, </w:t>
      </w:r>
      <w:r>
        <w:rPr>
          <w:i/>
        </w:rPr>
        <w:t>Abused and Neglected Child Reporting</w:t>
      </w:r>
      <w:r>
        <w:t>.</w:t>
      </w:r>
    </w:p>
    <w:p w:rsidR="003F5721" w:rsidRDefault="003F5721" w:rsidP="003F5721">
      <w:pPr>
        <w:pStyle w:val="LISTNUMBERDOUBLE"/>
        <w:numPr>
          <w:ilvl w:val="0"/>
          <w:numId w:val="7"/>
        </w:numPr>
        <w:ind w:left="720"/>
      </w:pPr>
      <w:r>
        <w:t xml:space="preserve">Provide information to parents/guardians in student handbooks about the warning signs of child sexual abuse, grooming behaviors, and boundary violations with evidence-informed educational information that also includes: </w:t>
      </w:r>
    </w:p>
    <w:p w:rsidR="003F5721" w:rsidRDefault="003F5721" w:rsidP="003F5721">
      <w:pPr>
        <w:pStyle w:val="ListAlphaLower"/>
        <w:numPr>
          <w:ilvl w:val="0"/>
          <w:numId w:val="8"/>
        </w:numPr>
        <w:ind w:left="1080"/>
      </w:pPr>
      <w:r>
        <w:t xml:space="preserve">Assistance, referral, or resource information, including how to recognize grooming behaviors, appropriate relationships between District employees and students based upon policy 5:120, </w:t>
      </w:r>
      <w:r w:rsidRPr="00A104E4">
        <w:rPr>
          <w:i/>
        </w:rPr>
        <w:t>E</w:t>
      </w:r>
      <w:r>
        <w:rPr>
          <w:i/>
        </w:rPr>
        <w:t>mployee E</w:t>
      </w:r>
      <w:r w:rsidRPr="00A104E4">
        <w:rPr>
          <w:i/>
        </w:rPr>
        <w:t>thics</w:t>
      </w:r>
      <w:r>
        <w:rPr>
          <w:i/>
        </w:rPr>
        <w:t>; Conduct; and Conflict of Interest</w:t>
      </w:r>
      <w:r>
        <w:t>, and how to prevent child sexual abuse from happening;</w:t>
      </w:r>
    </w:p>
    <w:p w:rsidR="003F5721" w:rsidRDefault="003F5721" w:rsidP="003F5721">
      <w:pPr>
        <w:pStyle w:val="ListAlphaLower"/>
        <w:numPr>
          <w:ilvl w:val="0"/>
          <w:numId w:val="8"/>
        </w:numPr>
        <w:ind w:left="1080"/>
      </w:pPr>
      <w:r>
        <w:t>M</w:t>
      </w:r>
      <w:r w:rsidRPr="002A6176">
        <w:t xml:space="preserve">ethods for how to report </w:t>
      </w:r>
      <w:r>
        <w:t xml:space="preserve">child sexual </w:t>
      </w:r>
      <w:r w:rsidRPr="002A6176">
        <w:t>abuse</w:t>
      </w:r>
      <w:r>
        <w:t>,</w:t>
      </w:r>
      <w:r w:rsidRPr="002A6176">
        <w:t xml:space="preserve"> gro</w:t>
      </w:r>
      <w:r>
        <w:t>oming behaviors, and/or boundary violations to authorities; and</w:t>
      </w:r>
    </w:p>
    <w:p w:rsidR="003F5721" w:rsidRDefault="003F5721" w:rsidP="003F5721">
      <w:pPr>
        <w:pStyle w:val="ListAlphaLower"/>
        <w:numPr>
          <w:ilvl w:val="0"/>
          <w:numId w:val="8"/>
        </w:numPr>
        <w:ind w:left="1080"/>
      </w:pPr>
      <w:r>
        <w:lastRenderedPageBreak/>
        <w:t xml:space="preserve">Available counseling and resources for children who are affected by sexual abuse, including both emotional and educational support for students affected by sexual abuse, so that the student can continue to succeed in school pursuant to policy 7:250, </w:t>
      </w:r>
      <w:r w:rsidRPr="00EB7B04">
        <w:rPr>
          <w:i/>
        </w:rPr>
        <w:t>Student Support Services</w:t>
      </w:r>
      <w:r>
        <w:t>.</w:t>
      </w:r>
    </w:p>
    <w:p w:rsidR="003F5721" w:rsidRDefault="003F5721" w:rsidP="003F5721">
      <w:pPr>
        <w:pStyle w:val="ListAlphaLower"/>
        <w:numPr>
          <w:ilvl w:val="0"/>
          <w:numId w:val="7"/>
        </w:numPr>
        <w:ind w:left="720"/>
      </w:pPr>
      <w:r>
        <w:t xml:space="preserve">Provide parents/guardians of students in any of grades K through 8 with not less than five days’ written notice before commencing any class or course providing instruction in recognizing and avoiding sexual abuse, as well as the opportunity to object in writing. </w:t>
      </w:r>
    </w:p>
    <w:p w:rsidR="003F5721" w:rsidRDefault="003F5721" w:rsidP="003F5721">
      <w:pPr>
        <w:pStyle w:val="LEGALREF"/>
      </w:pPr>
      <w:r w:rsidRPr="006B081B">
        <w:t>LEGAL REF.:</w:t>
      </w:r>
      <w:r>
        <w:tab/>
        <w:t xml:space="preserve">105 ILCS 5/10-23.13, </w:t>
      </w:r>
      <w:r w:rsidRPr="00EA4D6B">
        <w:t>5/2</w:t>
      </w:r>
      <w:r>
        <w:t xml:space="preserve">7-9.1a, and </w:t>
      </w:r>
      <w:r w:rsidRPr="00EA4D6B">
        <w:t>5/27-13.2</w:t>
      </w:r>
      <w:r>
        <w:t>.</w:t>
      </w:r>
    </w:p>
    <w:p w:rsidR="003F5721" w:rsidRDefault="003F5721" w:rsidP="003F5721">
      <w:pPr>
        <w:pStyle w:val="LEGALREFINDENT"/>
      </w:pPr>
      <w:proofErr w:type="gramStart"/>
      <w:r>
        <w:t xml:space="preserve">105 ILCS </w:t>
      </w:r>
      <w:r w:rsidRPr="00EA4D6B">
        <w:t>110/3</w:t>
      </w:r>
      <w:r>
        <w:t>, Critical Health Problems and Comprehensive Health Education Act</w:t>
      </w:r>
      <w:r w:rsidRPr="00EA4D6B">
        <w:t>.</w:t>
      </w:r>
      <w:proofErr w:type="gramEnd"/>
    </w:p>
    <w:p w:rsidR="003F5721" w:rsidRDefault="003F5721" w:rsidP="003F5721">
      <w:pPr>
        <w:pStyle w:val="LEGALREFINDENT"/>
      </w:pPr>
      <w:r>
        <w:t>325 ILCS 5/, Abused and Neglected Child Reporting Act.</w:t>
      </w:r>
    </w:p>
    <w:p w:rsidR="003F5721" w:rsidRDefault="003F5721" w:rsidP="003F5721">
      <w:pPr>
        <w:pStyle w:val="LEGALREFINDENT"/>
      </w:pPr>
      <w:proofErr w:type="gramStart"/>
      <w:r>
        <w:t>720 ILCS 5/11-25, Criminal Code of 2012.</w:t>
      </w:r>
      <w:proofErr w:type="gramEnd"/>
    </w:p>
    <w:p w:rsidR="003F5721" w:rsidRDefault="003F5721" w:rsidP="003F5721">
      <w:pPr>
        <w:pStyle w:val="CROSSREF"/>
      </w:pPr>
      <w:r w:rsidRPr="006B081B">
        <w:t>CROSS REF.:</w:t>
      </w:r>
      <w:r>
        <w:tab/>
        <w:t>2:260 (Uniform Grievance Procedure), 2:265 (</w:t>
      </w:r>
      <w:r w:rsidRPr="00A96A9B">
        <w:t>Title IX Sexual Harassment Grievance Procedure</w:t>
      </w:r>
      <w:r>
        <w:t>), 4:175 (Convicted Child Sex Offender; Screening; Notifications), 5:90 (Abused and Neglected Child Reporting), 5:100 (Staff Development Program), 5:120 (Employee Ethics; Conduct; and Conflict of Interest), 6:60 (Curriculum Content), 7:20 (Harassment of Students Prohibited), 7:250 (Student Support Services)</w:t>
      </w:r>
    </w:p>
    <w:p w:rsidR="003F5721" w:rsidRPr="003D7380" w:rsidRDefault="003F5721" w:rsidP="003F5721">
      <w:pPr>
        <w:pStyle w:val="CROSSREF"/>
      </w:pPr>
      <w:proofErr w:type="gramStart"/>
      <w:r>
        <w:t>ADOPTED.:</w:t>
      </w:r>
      <w:proofErr w:type="gramEnd"/>
      <w:r>
        <w:tab/>
        <w:t>January 13, 2021</w:t>
      </w:r>
    </w:p>
    <w:p w:rsidR="003F5721" w:rsidRDefault="003F5721" w:rsidP="003F5721">
      <w:pPr>
        <w:pStyle w:val="CROSSREF"/>
      </w:pPr>
    </w:p>
    <w:p w:rsidR="003F5721" w:rsidRDefault="003F5721" w:rsidP="003F5721">
      <w:pPr>
        <w:pStyle w:val="Header"/>
        <w:pBdr>
          <w:bottom w:val="single" w:sz="4" w:space="1" w:color="auto"/>
        </w:pBdr>
        <w:tabs>
          <w:tab w:val="clear" w:pos="4320"/>
          <w:tab w:val="clear" w:pos="8640"/>
          <w:tab w:val="right" w:pos="9000"/>
        </w:tabs>
      </w:pPr>
      <w:r>
        <w:br w:type="page"/>
      </w:r>
      <w:r>
        <w:lastRenderedPageBreak/>
        <w:t>November 2021</w:t>
      </w:r>
      <w:r>
        <w:tab/>
        <w:t>4:170</w:t>
      </w:r>
    </w:p>
    <w:p w:rsidR="003F5721" w:rsidRDefault="003F5721" w:rsidP="003F5721">
      <w:pPr>
        <w:tabs>
          <w:tab w:val="right" w:pos="9000"/>
        </w:tabs>
      </w:pPr>
    </w:p>
    <w:p w:rsidR="003F5721" w:rsidRDefault="003F5721" w:rsidP="003F5721">
      <w:pPr>
        <w:pStyle w:val="Heading1"/>
      </w:pPr>
      <w:r>
        <w:t>Operational Services</w:t>
      </w:r>
    </w:p>
    <w:p w:rsidR="003F5721" w:rsidRDefault="003F5721" w:rsidP="003F5721">
      <w:pPr>
        <w:pStyle w:val="Heading2"/>
      </w:pPr>
      <w:r>
        <w:t>Safety</w:t>
      </w:r>
      <w:r>
        <w:rPr>
          <w:b w:val="0"/>
          <w:bCs/>
          <w:u w:val="none"/>
        </w:rPr>
        <w:t xml:space="preserve"> </w:t>
      </w:r>
    </w:p>
    <w:p w:rsidR="003F5721" w:rsidRPr="00194FD3" w:rsidRDefault="003F5721" w:rsidP="003F5721">
      <w:pPr>
        <w:pStyle w:val="SUBHEADING"/>
      </w:pPr>
      <w:r w:rsidRPr="00194FD3">
        <w:t>Safety and Security</w:t>
      </w:r>
    </w:p>
    <w:p w:rsidR="003F5721" w:rsidRDefault="003F5721" w:rsidP="003F5721">
      <w:pPr>
        <w:pStyle w:val="BodyText"/>
      </w:pPr>
      <w:r>
        <w:t>All District operations, including the education program, shall be conducted in a manner that will promote the safety and security of everyone on District property or at a District event. The Superintendent or designee shall develop, implement, and maintain a comprehensive safety and security plan that includes, without limitation:</w:t>
      </w:r>
    </w:p>
    <w:p w:rsidR="003F5721" w:rsidRDefault="003F5721" w:rsidP="003F5721">
      <w:pPr>
        <w:pStyle w:val="LISTNUMBERDOUBLE"/>
        <w:numPr>
          <w:ilvl w:val="0"/>
          <w:numId w:val="3"/>
        </w:numPr>
      </w:pPr>
      <w:r>
        <w:t xml:space="preserve">An emergency operations and crisis response plan(s) addressing prevention, preparation, response, and recovery for each school; </w:t>
      </w:r>
    </w:p>
    <w:p w:rsidR="003F5721" w:rsidRDefault="003F5721" w:rsidP="003F5721">
      <w:pPr>
        <w:pStyle w:val="LISTNUMBERDOUBLE"/>
        <w:numPr>
          <w:ilvl w:val="0"/>
          <w:numId w:val="3"/>
        </w:numPr>
      </w:pPr>
      <w:r>
        <w:t>Provisions for a coordinated effort with local law enforcement and fire officials, emergency medical services personnel, and the Board Attorney;</w:t>
      </w:r>
    </w:p>
    <w:p w:rsidR="003F5721" w:rsidRDefault="003F5721" w:rsidP="003F5721">
      <w:pPr>
        <w:pStyle w:val="LISTNUMBERDOUBLE"/>
        <w:numPr>
          <w:ilvl w:val="0"/>
          <w:numId w:val="3"/>
        </w:numPr>
      </w:pPr>
      <w:r>
        <w:t>A school safety drill plan;</w:t>
      </w:r>
    </w:p>
    <w:p w:rsidR="003F5721" w:rsidRDefault="003F5721" w:rsidP="003F5721">
      <w:pPr>
        <w:pStyle w:val="LISTNUMBERDOUBLE"/>
        <w:numPr>
          <w:ilvl w:val="0"/>
          <w:numId w:val="3"/>
        </w:numPr>
      </w:pPr>
      <w:r>
        <w:t>Instruction in safe bus riding practices; and</w:t>
      </w:r>
    </w:p>
    <w:p w:rsidR="003F5721" w:rsidRDefault="003F5721" w:rsidP="003F5721">
      <w:pPr>
        <w:pStyle w:val="LISTNUMBERDOUBLE"/>
        <w:numPr>
          <w:ilvl w:val="0"/>
          <w:numId w:val="3"/>
        </w:numPr>
      </w:pPr>
      <w:r>
        <w:t xml:space="preserve">A </w:t>
      </w:r>
      <w:r w:rsidRPr="005B41CD">
        <w:t>clear, rapid, factual</w:t>
      </w:r>
      <w:r>
        <w:t>,</w:t>
      </w:r>
      <w:r w:rsidRPr="005B41CD">
        <w:t xml:space="preserve"> and coordinated system of internal and external communication</w:t>
      </w:r>
      <w:r>
        <w:t>.</w:t>
      </w:r>
    </w:p>
    <w:p w:rsidR="003F5721" w:rsidRDefault="003F5721" w:rsidP="003F5721">
      <w:pPr>
        <w:pStyle w:val="BodyText"/>
      </w:pPr>
      <w:r>
        <w:t xml:space="preserve">In the event of an emergency that threatens the safety of any person or property, students and staff are encouraged to follow the best practices discussed for their building regarding the use of any available cellular telephones. </w:t>
      </w:r>
    </w:p>
    <w:p w:rsidR="003F5721" w:rsidRDefault="003F5721" w:rsidP="003F5721">
      <w:pPr>
        <w:pStyle w:val="SUBHEADING"/>
      </w:pPr>
      <w:r>
        <w:t>School S</w:t>
      </w:r>
      <w:r w:rsidRPr="008B497A">
        <w:t xml:space="preserve">afety </w:t>
      </w:r>
      <w:r>
        <w:t>D</w:t>
      </w:r>
      <w:r w:rsidRPr="008B497A">
        <w:t>rill</w:t>
      </w:r>
      <w:r>
        <w:t xml:space="preserve"> Plan</w:t>
      </w:r>
      <w:r w:rsidRPr="00D13528">
        <w:rPr>
          <w:u w:val="none"/>
        </w:rPr>
        <w:t xml:space="preserve"> </w:t>
      </w:r>
    </w:p>
    <w:p w:rsidR="003F5721" w:rsidRDefault="003F5721" w:rsidP="003F5721">
      <w:pPr>
        <w:pStyle w:val="BodyText"/>
      </w:pPr>
      <w:bookmarkStart w:id="0" w:name="custom4170a"/>
      <w:bookmarkEnd w:id="0"/>
      <w:r>
        <w:t>During every academic year, each school building that houses school children shall conduct, at a minimum, each of the following in accordance with the School Safety Drill Act (105 ILCS 128/):</w:t>
      </w:r>
    </w:p>
    <w:p w:rsidR="003F5721" w:rsidRDefault="003F5721" w:rsidP="003F5721">
      <w:pPr>
        <w:pStyle w:val="LISTNUMBERDOUBLE"/>
        <w:numPr>
          <w:ilvl w:val="0"/>
          <w:numId w:val="4"/>
        </w:numPr>
      </w:pPr>
      <w:r>
        <w:t xml:space="preserve">Three school evacuation drills </w:t>
      </w:r>
      <w:r w:rsidRPr="002B7289">
        <w:rPr>
          <w:shd w:val="clear" w:color="auto" w:fill="FFFFFF"/>
        </w:rPr>
        <w:t>to address and prepare students and school personnel for fire incidents</w:t>
      </w:r>
      <w:r>
        <w:rPr>
          <w:shd w:val="clear" w:color="auto" w:fill="FFFFFF"/>
        </w:rPr>
        <w:t>. One of these three drills shall require the participation of the local fire department or district.</w:t>
      </w:r>
    </w:p>
    <w:p w:rsidR="003F5721" w:rsidRDefault="003F5721" w:rsidP="003F5721">
      <w:pPr>
        <w:pStyle w:val="LISTNUMBERDOUBLE"/>
        <w:numPr>
          <w:ilvl w:val="0"/>
          <w:numId w:val="4"/>
        </w:numPr>
      </w:pPr>
      <w:r>
        <w:t>One bus evacuation drill.</w:t>
      </w:r>
    </w:p>
    <w:p w:rsidR="003F5721" w:rsidRDefault="003F5721" w:rsidP="003F5721">
      <w:pPr>
        <w:pStyle w:val="LISTNUMBERDOUBLE"/>
        <w:numPr>
          <w:ilvl w:val="0"/>
          <w:numId w:val="4"/>
        </w:numPr>
      </w:pPr>
      <w:r>
        <w:t>One severe weather and shelter-in-place drill to address and prepare students and school personnel for possible tornado incidents.</w:t>
      </w:r>
    </w:p>
    <w:p w:rsidR="003F5721" w:rsidRDefault="003F5721" w:rsidP="003F5721">
      <w:pPr>
        <w:pStyle w:val="LISTNUMBERDOUBLE"/>
        <w:numPr>
          <w:ilvl w:val="0"/>
          <w:numId w:val="4"/>
        </w:numPr>
      </w:pPr>
      <w:r>
        <w:t xml:space="preserve">One law enforcement lockdown drill to address a school shooting incident and to evaluate the preparedness of school personnel and students. This drill shall occur no later than 90 days after the first day of school of each year, and shall require the participation of all school personnel and students present at school at the time of the drill, except for those exempted by administrators, school support personnel, or a parent/guardian. </w:t>
      </w:r>
    </w:p>
    <w:p w:rsidR="003F5721" w:rsidRDefault="003F5721" w:rsidP="003F5721">
      <w:pPr>
        <w:pStyle w:val="SUBHEADING"/>
      </w:pPr>
      <w:r>
        <w:t>Annual Review</w:t>
      </w:r>
    </w:p>
    <w:p w:rsidR="003F5721" w:rsidRPr="00034EA4" w:rsidRDefault="003F5721" w:rsidP="003F5721">
      <w:pPr>
        <w:pStyle w:val="BodyText"/>
      </w:pPr>
      <w:r w:rsidRPr="007022CA">
        <w:t xml:space="preserve">The Board or its designee will annually review each school building’s emergency operations and crisis response plan(s), protocols, and procedures, as well as each building’s compliance with the school safety drill plan. </w:t>
      </w:r>
      <w:r w:rsidRPr="00774BEE">
        <w:t xml:space="preserve">This annual review shall be in accordance with the School Safety Drill Act (105 ILCS 128/) and the </w:t>
      </w:r>
      <w:r w:rsidRPr="00774BEE">
        <w:rPr>
          <w:spacing w:val="-2"/>
        </w:rPr>
        <w:t>Joint Rules of the Office of the State Fire Marshal and the Ill</w:t>
      </w:r>
      <w:r>
        <w:rPr>
          <w:spacing w:val="-2"/>
        </w:rPr>
        <w:t>.</w:t>
      </w:r>
      <w:r w:rsidRPr="00774BEE">
        <w:rPr>
          <w:spacing w:val="-2"/>
        </w:rPr>
        <w:t xml:space="preserve"> State Board of Education</w:t>
      </w:r>
      <w:r>
        <w:rPr>
          <w:spacing w:val="-2"/>
        </w:rPr>
        <w:t xml:space="preserve"> (ISBE).</w:t>
      </w:r>
      <w:r w:rsidRPr="00774BEE">
        <w:rPr>
          <w:spacing w:val="-2"/>
        </w:rPr>
        <w:t xml:space="preserve"> 29 </w:t>
      </w:r>
      <w:proofErr w:type="spellStart"/>
      <w:r w:rsidRPr="00774BEE">
        <w:rPr>
          <w:spacing w:val="-2"/>
        </w:rPr>
        <w:t>Ill.Admin.Code</w:t>
      </w:r>
      <w:proofErr w:type="spellEnd"/>
      <w:r w:rsidRPr="00774BEE">
        <w:rPr>
          <w:spacing w:val="-2"/>
        </w:rPr>
        <w:t xml:space="preserve"> </w:t>
      </w:r>
      <w:proofErr w:type="gramStart"/>
      <w:r w:rsidRPr="00774BEE">
        <w:rPr>
          <w:spacing w:val="-2"/>
        </w:rPr>
        <w:t>Part</w:t>
      </w:r>
      <w:proofErr w:type="gramEnd"/>
      <w:r w:rsidRPr="00774BEE">
        <w:rPr>
          <w:spacing w:val="-2"/>
        </w:rPr>
        <w:t xml:space="preserve"> 1500.</w:t>
      </w:r>
      <w:r w:rsidRPr="00774BEE">
        <w:rPr>
          <w:rStyle w:val="FootnoteReference"/>
        </w:rPr>
        <w:t xml:space="preserve"> </w:t>
      </w:r>
    </w:p>
    <w:p w:rsidR="003F5721" w:rsidRDefault="003F5721" w:rsidP="003F5721">
      <w:pPr>
        <w:pStyle w:val="SUBHEADING"/>
      </w:pPr>
      <w:r>
        <w:t>Automated External Defibrillator (AED)</w:t>
      </w:r>
      <w:r w:rsidRPr="00194FD3">
        <w:rPr>
          <w:u w:val="none"/>
        </w:rPr>
        <w:t xml:space="preserve"> </w:t>
      </w:r>
    </w:p>
    <w:p w:rsidR="003F5721" w:rsidRDefault="003F5721" w:rsidP="003F5721">
      <w:pPr>
        <w:pStyle w:val="BodyText"/>
      </w:pPr>
      <w:r>
        <w:t xml:space="preserve">The Superintendent or designee shall </w:t>
      </w:r>
      <w:r w:rsidRPr="00F83BEE">
        <w:t xml:space="preserve">implement a written plan for responding to medical emergencies </w:t>
      </w:r>
      <w:r>
        <w:t xml:space="preserve">at the District’s physical fitness facilities in accordance with the </w:t>
      </w:r>
      <w:r w:rsidRPr="008C2CD4">
        <w:t>Fitness Facility Medical Emergency Preparedness Act</w:t>
      </w:r>
      <w:r>
        <w:t xml:space="preserve"> and shall file a copy of the plan with the Ill. Dept. of Public Health (IDPH)</w:t>
      </w:r>
      <w:r w:rsidRPr="008C2CD4">
        <w:t xml:space="preserve">. </w:t>
      </w:r>
      <w:r>
        <w:t xml:space="preserve">The plan </w:t>
      </w:r>
      <w:r>
        <w:lastRenderedPageBreak/>
        <w:t>shall provide for at least one automated external defibrillator (AED) to be available at every physical fitness facility on the premises according to State law requirements.</w:t>
      </w:r>
    </w:p>
    <w:p w:rsidR="003F5721" w:rsidRDefault="003F5721" w:rsidP="003F5721">
      <w:pPr>
        <w:pStyle w:val="BodyText"/>
      </w:pPr>
      <w:r>
        <w:t>The District shall have an AED on site as well as a trained AED user: (1) on staff during staffed business hours; and (2) available during activities or events sponsored and conducted or supervised by the District. The Superintendent or designee shall ensure that every AED on the District’s premises is properly tested and maintained in accordance with rules developed by the IDPH.</w:t>
      </w:r>
      <w:r w:rsidRPr="005F3935">
        <w:t xml:space="preserve"> </w:t>
      </w:r>
      <w:r>
        <w:t>This policy does not create an obligation to use an AED.</w:t>
      </w:r>
    </w:p>
    <w:p w:rsidR="003F5721" w:rsidRDefault="003F5721" w:rsidP="003F5721">
      <w:pPr>
        <w:pStyle w:val="SUBHEADING"/>
      </w:pPr>
      <w:r>
        <w:t>Carbon Monoxide Alarms</w:t>
      </w:r>
      <w:r>
        <w:rPr>
          <w:u w:val="none"/>
        </w:rPr>
        <w:t xml:space="preserve"> </w:t>
      </w:r>
    </w:p>
    <w:p w:rsidR="003F5721" w:rsidRDefault="003F5721" w:rsidP="003F5721">
      <w:pPr>
        <w:pStyle w:val="BodyText"/>
      </w:pPr>
      <w:r>
        <w:t xml:space="preserve">The Superintendent or designee shall </w:t>
      </w:r>
      <w:r w:rsidRPr="00F83BEE">
        <w:t>implement</w:t>
      </w:r>
      <w:r>
        <w:t xml:space="preserve"> a plan with the District’s local fire officials to:</w:t>
      </w:r>
    </w:p>
    <w:p w:rsidR="003F5721" w:rsidRDefault="003F5721" w:rsidP="003F5721">
      <w:pPr>
        <w:pStyle w:val="LISTNUMBERDOUBLE"/>
        <w:numPr>
          <w:ilvl w:val="0"/>
          <w:numId w:val="2"/>
        </w:numPr>
      </w:pPr>
      <w:r>
        <w:t xml:space="preserve">Determine which school buildings to equip with approved </w:t>
      </w:r>
      <w:r w:rsidRPr="000543E0">
        <w:rPr>
          <w:i/>
        </w:rPr>
        <w:t>carbon monoxide alarm</w:t>
      </w:r>
      <w:r>
        <w:rPr>
          <w:i/>
        </w:rPr>
        <w:t>s</w:t>
      </w:r>
      <w:r>
        <w:t xml:space="preserve"> or </w:t>
      </w:r>
      <w:r w:rsidRPr="000543E0">
        <w:rPr>
          <w:i/>
        </w:rPr>
        <w:t>carbon monoxide detector</w:t>
      </w:r>
      <w:r>
        <w:rPr>
          <w:i/>
        </w:rPr>
        <w:t>s</w:t>
      </w:r>
      <w:r>
        <w:t>,</w:t>
      </w:r>
    </w:p>
    <w:p w:rsidR="003F5721" w:rsidRDefault="003F5721" w:rsidP="003F5721">
      <w:pPr>
        <w:pStyle w:val="LISTNUMBERDOUBLE"/>
        <w:numPr>
          <w:ilvl w:val="0"/>
          <w:numId w:val="2"/>
        </w:numPr>
      </w:pPr>
      <w:r>
        <w:t>Locate the required carbon monoxide alarms or carbon monoxide detectors within 20 feet of a carbon monoxide emitting device, and</w:t>
      </w:r>
    </w:p>
    <w:p w:rsidR="003F5721" w:rsidRPr="004B0AD1" w:rsidRDefault="003F5721" w:rsidP="003F5721">
      <w:pPr>
        <w:pStyle w:val="LISTNUMBERDOUBLE"/>
        <w:numPr>
          <w:ilvl w:val="0"/>
          <w:numId w:val="2"/>
        </w:numPr>
      </w:pPr>
      <w:r>
        <w:t>Incorporate c</w:t>
      </w:r>
      <w:r w:rsidRPr="00746539">
        <w:t>arbon monoxide alarm o</w:t>
      </w:r>
      <w:r>
        <w:t>r detector activation procedures into each school building that requires a carbon monoxide alarm or detector. The Superintendent or designee shall ensure each school building annually reviews these procedures.</w:t>
      </w:r>
    </w:p>
    <w:p w:rsidR="003F5721" w:rsidRPr="00FB329C" w:rsidRDefault="003F5721" w:rsidP="003F5721">
      <w:pPr>
        <w:pStyle w:val="SUBHEADING"/>
      </w:pPr>
      <w:r>
        <w:t>Soccer Goal Safety</w:t>
      </w:r>
      <w:r w:rsidRPr="00194FD3">
        <w:rPr>
          <w:u w:val="none"/>
        </w:rPr>
        <w:t xml:space="preserve"> </w:t>
      </w:r>
    </w:p>
    <w:p w:rsidR="003F5721" w:rsidRDefault="003F5721" w:rsidP="003F5721">
      <w:pPr>
        <w:pStyle w:val="BodyText"/>
      </w:pPr>
      <w:r w:rsidRPr="00001243">
        <w:t xml:space="preserve">The Superintendent or designee shall implement the Movable Soccer Goal Safety Act in accordance with the guidance published by the </w:t>
      </w:r>
      <w:r>
        <w:t>IDPH</w:t>
      </w:r>
      <w:r w:rsidRPr="00001243">
        <w:t>.</w:t>
      </w:r>
      <w:r>
        <w:t xml:space="preserve"> Implementation of the Act shall be directed toward improving the safety of movable soccer goals by requiring that they be properly anchored.</w:t>
      </w:r>
    </w:p>
    <w:p w:rsidR="003F5721" w:rsidRPr="00194FD3" w:rsidRDefault="003F5721" w:rsidP="003F5721">
      <w:pPr>
        <w:pStyle w:val="SUBHEADING"/>
      </w:pPr>
      <w:r w:rsidRPr="00194FD3">
        <w:t>Unsafe School Choice Option</w:t>
      </w:r>
      <w:r w:rsidRPr="00194FD3">
        <w:rPr>
          <w:b/>
          <w:u w:val="none"/>
        </w:rPr>
        <w:t xml:space="preserve"> </w:t>
      </w:r>
    </w:p>
    <w:p w:rsidR="003F5721" w:rsidRDefault="003F5721" w:rsidP="003F5721">
      <w:pPr>
        <w:pStyle w:val="BodyText"/>
      </w:pPr>
      <w:bookmarkStart w:id="1" w:name="SB_C_2"/>
      <w:r>
        <w:t>The unsafe school choice option allows students to transfer to another District school or to a public charter school within the District. The unsafe school choice option is available to:</w:t>
      </w:r>
    </w:p>
    <w:p w:rsidR="003F5721" w:rsidRDefault="003F5721" w:rsidP="003F5721">
      <w:pPr>
        <w:pStyle w:val="LISTNUMBERDOUBLE"/>
        <w:numPr>
          <w:ilvl w:val="0"/>
          <w:numId w:val="1"/>
        </w:numPr>
      </w:pPr>
      <w:r>
        <w:t>All students attending a persistently dangerous school, as defined by State law and identified by the ISBE.</w:t>
      </w:r>
    </w:p>
    <w:p w:rsidR="003F5721" w:rsidRDefault="003F5721" w:rsidP="003F5721">
      <w:pPr>
        <w:pStyle w:val="LISTNUMBERDOUBLE"/>
        <w:numPr>
          <w:ilvl w:val="0"/>
          <w:numId w:val="1"/>
        </w:numPr>
      </w:pPr>
      <w:r>
        <w:t>Any student who is a victim of a violent criminal offense, as defined by 725 ILCS 120/</w:t>
      </w:r>
      <w:proofErr w:type="gramStart"/>
      <w:r>
        <w:t>3, that</w:t>
      </w:r>
      <w:proofErr w:type="gramEnd"/>
      <w:r>
        <w:t xml:space="preserve"> occurred on school grounds during regular school hours or during a school-sponsored event.</w:t>
      </w:r>
    </w:p>
    <w:p w:rsidR="003F5721" w:rsidRPr="00680FF2" w:rsidRDefault="003F5721" w:rsidP="003F5721">
      <w:pPr>
        <w:pStyle w:val="BodyText"/>
        <w:rPr>
          <w:u w:val="single"/>
        </w:rPr>
      </w:pPr>
      <w:r>
        <w:t>The Superintendent or designee shall develop procedures to implement the unsafe school choice option.</w:t>
      </w:r>
      <w:bookmarkEnd w:id="1"/>
    </w:p>
    <w:p w:rsidR="003F5721" w:rsidRPr="002B3024" w:rsidRDefault="003F5721" w:rsidP="003F5721">
      <w:pPr>
        <w:pStyle w:val="SUBHEADING"/>
        <w:rPr>
          <w:u w:val="none"/>
        </w:rPr>
      </w:pPr>
      <w:r>
        <w:t>Lead Testing in Water</w:t>
      </w:r>
      <w:r w:rsidRPr="00CB7F74">
        <w:rPr>
          <w:u w:val="none"/>
        </w:rPr>
        <w:t xml:space="preserve"> </w:t>
      </w:r>
    </w:p>
    <w:p w:rsidR="003F5721" w:rsidRPr="002B3024" w:rsidRDefault="003F5721" w:rsidP="003F5721">
      <w:pPr>
        <w:pStyle w:val="BodyText"/>
      </w:pPr>
      <w:r>
        <w:t xml:space="preserve">The Superintendent or designee shall implement testing for lead in each source of drinking water in school buildings in accordance with the Ill. Plumbing License Law and guidance published by the IDPH. The Superintendent or designee shall notify parent(s)/guardian(s) about the sampling results from their children’s respective school buildings. </w:t>
      </w:r>
    </w:p>
    <w:p w:rsidR="003F5721" w:rsidRPr="00194FD3" w:rsidRDefault="003F5721" w:rsidP="003F5721">
      <w:pPr>
        <w:pStyle w:val="SUBHEADING"/>
      </w:pPr>
      <w:r w:rsidRPr="00194FD3">
        <w:t>Emergency Closing</w:t>
      </w:r>
    </w:p>
    <w:p w:rsidR="003F5721" w:rsidRDefault="003F5721" w:rsidP="003F5721">
      <w:pPr>
        <w:pStyle w:val="BodyText"/>
      </w:pPr>
      <w:r>
        <w:t>The Superintendent is authorized to close school</w:t>
      </w:r>
      <w:bookmarkStart w:id="2" w:name="SB_C"/>
      <w:r>
        <w:t>(s</w:t>
      </w:r>
      <w:bookmarkEnd w:id="2"/>
      <w:r>
        <w:t xml:space="preserve">) in the event of hazardous weather or other emergency that threatens the safety of students, staff members, or school property. </w:t>
      </w:r>
    </w:p>
    <w:p w:rsidR="003F5721" w:rsidRPr="005F3935" w:rsidRDefault="003F5721" w:rsidP="003F5721">
      <w:pPr>
        <w:pStyle w:val="LEGALREF"/>
      </w:pPr>
      <w:r w:rsidRPr="005F3935">
        <w:lastRenderedPageBreak/>
        <w:t>LEGAL REF.:</w:t>
      </w:r>
      <w:r w:rsidRPr="005F3935">
        <w:tab/>
        <w:t>105 ILCS 5/10-20.2, 5/10-20.5</w:t>
      </w:r>
      <w:r>
        <w:t>7</w:t>
      </w:r>
      <w:r w:rsidRPr="005F3935">
        <w:t>, 5/18-12, and 5/18-12.5.</w:t>
      </w:r>
    </w:p>
    <w:p w:rsidR="003F5721" w:rsidRDefault="003F5721" w:rsidP="003F5721">
      <w:pPr>
        <w:pStyle w:val="LEGALREFINDENT"/>
      </w:pPr>
      <w:r>
        <w:t xml:space="preserve">105 ILCS 128/, School Safety Drill Act; 29 </w:t>
      </w:r>
      <w:proofErr w:type="spellStart"/>
      <w:r>
        <w:t>Ill.Admin.Code</w:t>
      </w:r>
      <w:proofErr w:type="spellEnd"/>
      <w:r>
        <w:t xml:space="preserve"> Part 1500.</w:t>
      </w:r>
    </w:p>
    <w:p w:rsidR="003F5721" w:rsidRDefault="003F5721" w:rsidP="003F5721">
      <w:pPr>
        <w:pStyle w:val="LEGALREFINDENT"/>
      </w:pPr>
      <w:proofErr w:type="gramStart"/>
      <w:r>
        <w:t>210 ILCS 74/, Physical Fitness Facility Medical Emergency Preparedness Act.</w:t>
      </w:r>
      <w:proofErr w:type="gramEnd"/>
    </w:p>
    <w:p w:rsidR="003F5721" w:rsidRDefault="003F5721" w:rsidP="003F5721">
      <w:pPr>
        <w:pStyle w:val="LEGALREFINDENT"/>
      </w:pPr>
      <w:proofErr w:type="gramStart"/>
      <w:r>
        <w:t>225 ILCS 320/35.5, Ill. Plumbing License Law.</w:t>
      </w:r>
      <w:proofErr w:type="gramEnd"/>
    </w:p>
    <w:p w:rsidR="003F5721" w:rsidRDefault="003F5721" w:rsidP="003F5721">
      <w:pPr>
        <w:pStyle w:val="CROSSREF"/>
      </w:pPr>
      <w:r>
        <w:t>CROSS REF.:</w:t>
      </w:r>
      <w:r>
        <w:tab/>
        <w:t>4:110 (Transportation), 4:175 (</w:t>
      </w:r>
      <w:r w:rsidRPr="00A34A39">
        <w:t>Convicted Child Sex Offender; Screen</w:t>
      </w:r>
      <w:r>
        <w:t>ing</w:t>
      </w:r>
      <w:r w:rsidRPr="00A34A39">
        <w:t>; Notifications</w:t>
      </w:r>
      <w:r>
        <w:t>), 4:180 (Pandemic Preparedness; Management; and Recovery), 5:30 (Hiring Process and Criteria), 8:30 (Visitors to and Conduct on School Property), 8:100 (Relations with Other Organizations and Agencies)</w:t>
      </w:r>
    </w:p>
    <w:p w:rsidR="003F5721" w:rsidRPr="003D7380" w:rsidRDefault="003F5721" w:rsidP="003F5721">
      <w:pPr>
        <w:pStyle w:val="CROSSREF"/>
      </w:pPr>
      <w:proofErr w:type="gramStart"/>
      <w:r>
        <w:t>ADOPTED.:</w:t>
      </w:r>
      <w:proofErr w:type="gramEnd"/>
      <w:r>
        <w:tab/>
        <w:t>January 13, 2021</w:t>
      </w:r>
    </w:p>
    <w:p w:rsidR="00DA5C00" w:rsidRDefault="00DA5C00"/>
    <w:sectPr w:rsidR="00DA5C00" w:rsidSect="00DA5C0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9B0" w:rsidRDefault="001E09B0" w:rsidP="00BD41B3">
      <w:r>
        <w:separator/>
      </w:r>
    </w:p>
  </w:endnote>
  <w:endnote w:type="continuationSeparator" w:id="0">
    <w:p w:rsidR="001E09B0" w:rsidRDefault="001E09B0"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21" w:rsidRDefault="003F5721" w:rsidP="003F5721">
    <w:pPr>
      <w:pStyle w:val="Footer"/>
      <w:tabs>
        <w:tab w:val="right" w:pos="9000"/>
      </w:tabs>
    </w:pPr>
    <w:r>
      <w:t>4:170</w:t>
    </w:r>
    <w:r>
      <w:tab/>
    </w:r>
    <w:r>
      <w:tab/>
      <w:t xml:space="preserve">Page </w:t>
    </w:r>
    <w:fldSimple w:instr=" PAGE   \* MERGEFORMAT ">
      <w:r>
        <w:rPr>
          <w:noProof/>
        </w:rPr>
        <w:t>1</w:t>
      </w:r>
    </w:fldSimple>
    <w:r>
      <w:t xml:space="preserve"> of </w:t>
    </w:r>
    <w:fldSimple w:instr=" SECTIONPAGES   \* MERGEFORMAT ">
      <w:r>
        <w:rPr>
          <w:noProof/>
        </w:rPr>
        <w:t>6</w:t>
      </w:r>
    </w:fldSimple>
  </w:p>
  <w:p w:rsidR="0015326E" w:rsidRDefault="0015326E">
    <w:pPr>
      <w:pStyle w:val="CROSSREF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9B0" w:rsidRDefault="001E09B0" w:rsidP="00BD41B3">
      <w:r>
        <w:separator/>
      </w:r>
    </w:p>
  </w:footnote>
  <w:footnote w:type="continuationSeparator" w:id="0">
    <w:p w:rsidR="001E09B0" w:rsidRDefault="001E09B0" w:rsidP="00BD4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323"/>
    <w:multiLevelType w:val="hybridMultilevel"/>
    <w:tmpl w:val="469C5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313BBB"/>
    <w:multiLevelType w:val="singleLevel"/>
    <w:tmpl w:val="2FD0ABB8"/>
    <w:lvl w:ilvl="0">
      <w:start w:val="1"/>
      <w:numFmt w:val="decimal"/>
      <w:lvlText w:val="%1."/>
      <w:legacy w:legacy="1" w:legacySpace="0" w:legacyIndent="360"/>
      <w:lvlJc w:val="left"/>
      <w:pPr>
        <w:ind w:left="720" w:hanging="360"/>
      </w:pPr>
    </w:lvl>
  </w:abstractNum>
  <w:abstractNum w:abstractNumId="2">
    <w:nsid w:val="25EC7DE8"/>
    <w:multiLevelType w:val="hybridMultilevel"/>
    <w:tmpl w:val="35E05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F4470F"/>
    <w:multiLevelType w:val="singleLevel"/>
    <w:tmpl w:val="E95285D6"/>
    <w:lvl w:ilvl="0">
      <w:start w:val="1"/>
      <w:numFmt w:val="decimal"/>
      <w:lvlText w:val="%1."/>
      <w:legacy w:legacy="1" w:legacySpace="0" w:legacyIndent="360"/>
      <w:lvlJc w:val="left"/>
      <w:pPr>
        <w:ind w:left="720" w:hanging="360"/>
      </w:pPr>
    </w:lvl>
  </w:abstractNum>
  <w:abstractNum w:abstractNumId="4">
    <w:nsid w:val="533C6818"/>
    <w:multiLevelType w:val="singleLevel"/>
    <w:tmpl w:val="2FD0ABB8"/>
    <w:lvl w:ilvl="0">
      <w:start w:val="1"/>
      <w:numFmt w:val="decimal"/>
      <w:lvlText w:val="%1."/>
      <w:legacy w:legacy="1" w:legacySpace="0" w:legacyIndent="360"/>
      <w:lvlJc w:val="left"/>
      <w:pPr>
        <w:ind w:left="720" w:hanging="360"/>
      </w:pPr>
    </w:lvl>
  </w:abstractNum>
  <w:abstractNum w:abstractNumId="5">
    <w:nsid w:val="7178699D"/>
    <w:multiLevelType w:val="hybridMultilevel"/>
    <w:tmpl w:val="E43ED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6A06A3"/>
    <w:multiLevelType w:val="singleLevel"/>
    <w:tmpl w:val="69C412EE"/>
    <w:lvl w:ilvl="0">
      <w:start w:val="1"/>
      <w:numFmt w:val="decimal"/>
      <w:lvlText w:val="%1."/>
      <w:legacy w:legacy="1" w:legacySpace="0" w:legacyIndent="360"/>
      <w:lvlJc w:val="left"/>
      <w:pPr>
        <w:ind w:left="720" w:hanging="360"/>
      </w:pPr>
    </w:lvl>
  </w:abstractNum>
  <w:abstractNum w:abstractNumId="7">
    <w:nsid w:val="7C7160D4"/>
    <w:multiLevelType w:val="hybridMultilevel"/>
    <w:tmpl w:val="CB6C84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127180"/>
    <w:rsid w:val="0015326E"/>
    <w:rsid w:val="001E09B0"/>
    <w:rsid w:val="003F5721"/>
    <w:rsid w:val="005138E8"/>
    <w:rsid w:val="00516E78"/>
    <w:rsid w:val="005C1E67"/>
    <w:rsid w:val="00747DFC"/>
    <w:rsid w:val="009F1041"/>
    <w:rsid w:val="00BD41B3"/>
    <w:rsid w:val="00DA5C00"/>
    <w:rsid w:val="00E63E86"/>
    <w:rsid w:val="00EB0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2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F5721"/>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3F572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72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F5721"/>
    <w:rPr>
      <w:rFonts w:ascii="Arial" w:eastAsia="Times New Roman" w:hAnsi="Arial" w:cs="Times New Roman"/>
      <w:b/>
      <w:kern w:val="28"/>
      <w:szCs w:val="20"/>
      <w:u w:val="single"/>
    </w:rPr>
  </w:style>
  <w:style w:type="paragraph" w:styleId="BodyText">
    <w:name w:val="Body Text"/>
    <w:basedOn w:val="Normal"/>
    <w:link w:val="BodyTextChar"/>
    <w:rsid w:val="003F5721"/>
    <w:pPr>
      <w:spacing w:before="60" w:after="60"/>
      <w:jc w:val="both"/>
    </w:pPr>
  </w:style>
  <w:style w:type="character" w:customStyle="1" w:styleId="BodyTextChar">
    <w:name w:val="Body Text Char"/>
    <w:basedOn w:val="DefaultParagraphFont"/>
    <w:link w:val="BodyText"/>
    <w:rsid w:val="003F5721"/>
    <w:rPr>
      <w:rFonts w:ascii="Times New Roman" w:eastAsia="Times New Roman" w:hAnsi="Times New Roman" w:cs="Times New Roman"/>
      <w:kern w:val="28"/>
      <w:szCs w:val="20"/>
    </w:rPr>
  </w:style>
  <w:style w:type="paragraph" w:customStyle="1" w:styleId="LEGALREF">
    <w:name w:val="LEGAL REF"/>
    <w:basedOn w:val="Normal"/>
    <w:link w:val="LEGALREFChar"/>
    <w:rsid w:val="003F572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3F5721"/>
    <w:pPr>
      <w:tabs>
        <w:tab w:val="clear" w:pos="1800"/>
      </w:tabs>
      <w:spacing w:before="0"/>
      <w:ind w:hanging="360"/>
    </w:pPr>
  </w:style>
  <w:style w:type="paragraph" w:customStyle="1" w:styleId="CROSSREF">
    <w:name w:val="CROSS REF"/>
    <w:basedOn w:val="Normal"/>
    <w:link w:val="CROSSREFChar"/>
    <w:rsid w:val="003F5721"/>
    <w:pPr>
      <w:keepNext/>
      <w:keepLines/>
      <w:tabs>
        <w:tab w:val="left" w:pos="1800"/>
      </w:tabs>
      <w:spacing w:before="240"/>
      <w:ind w:left="1800" w:hanging="1800"/>
    </w:pPr>
  </w:style>
  <w:style w:type="character" w:styleId="FootnoteReference">
    <w:name w:val="footnote reference"/>
    <w:rsid w:val="003F5721"/>
    <w:rPr>
      <w:rFonts w:ascii="Times New Roman" w:hAnsi="Times New Roman"/>
      <w:b/>
      <w:position w:val="6"/>
      <w:sz w:val="18"/>
    </w:rPr>
  </w:style>
  <w:style w:type="paragraph" w:customStyle="1" w:styleId="ListAlphaLower">
    <w:name w:val="List Alpha Lower"/>
    <w:basedOn w:val="Normal"/>
    <w:link w:val="ListAlphaLowerChar"/>
    <w:rsid w:val="003F5721"/>
    <w:pPr>
      <w:spacing w:before="120" w:after="120"/>
      <w:ind w:left="1080" w:hanging="360"/>
      <w:jc w:val="both"/>
    </w:pPr>
  </w:style>
  <w:style w:type="paragraph" w:customStyle="1" w:styleId="LISTNUMBERDOUBLE">
    <w:name w:val="LIST NUMBER DOUBLE"/>
    <w:basedOn w:val="ListNumber2"/>
    <w:rsid w:val="003F5721"/>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3F5721"/>
    <w:pPr>
      <w:keepNext/>
      <w:spacing w:before="120" w:after="60"/>
    </w:pPr>
    <w:rPr>
      <w:u w:val="single"/>
    </w:rPr>
  </w:style>
  <w:style w:type="paragraph" w:styleId="Header">
    <w:name w:val="header"/>
    <w:basedOn w:val="Normal"/>
    <w:link w:val="HeaderChar"/>
    <w:rsid w:val="003F5721"/>
    <w:pPr>
      <w:tabs>
        <w:tab w:val="center" w:pos="4320"/>
        <w:tab w:val="right" w:pos="8640"/>
      </w:tabs>
    </w:pPr>
  </w:style>
  <w:style w:type="character" w:customStyle="1" w:styleId="HeaderChar">
    <w:name w:val="Header Char"/>
    <w:basedOn w:val="DefaultParagraphFont"/>
    <w:link w:val="Header"/>
    <w:rsid w:val="003F5721"/>
    <w:rPr>
      <w:rFonts w:ascii="Times New Roman" w:eastAsia="Times New Roman" w:hAnsi="Times New Roman" w:cs="Times New Roman"/>
      <w:kern w:val="28"/>
      <w:szCs w:val="20"/>
    </w:rPr>
  </w:style>
  <w:style w:type="character" w:customStyle="1" w:styleId="SUBHEADINGChar">
    <w:name w:val="SUBHEADING Char"/>
    <w:link w:val="SUBHEADING"/>
    <w:rsid w:val="003F5721"/>
    <w:rPr>
      <w:rFonts w:ascii="Times New Roman" w:eastAsia="Times New Roman" w:hAnsi="Times New Roman" w:cs="Times New Roman"/>
      <w:kern w:val="28"/>
      <w:szCs w:val="20"/>
      <w:u w:val="single"/>
    </w:rPr>
  </w:style>
  <w:style w:type="character" w:customStyle="1" w:styleId="LEGALREFChar">
    <w:name w:val="LEGAL REF Char"/>
    <w:link w:val="LEGALREF"/>
    <w:rsid w:val="003F5721"/>
    <w:rPr>
      <w:rFonts w:ascii="Times New Roman" w:eastAsia="Times New Roman" w:hAnsi="Times New Roman" w:cs="Times New Roman"/>
      <w:spacing w:val="-2"/>
      <w:kern w:val="28"/>
      <w:szCs w:val="20"/>
    </w:rPr>
  </w:style>
  <w:style w:type="character" w:customStyle="1" w:styleId="CROSSREFChar">
    <w:name w:val="CROSS REF Char"/>
    <w:link w:val="CROSSREF"/>
    <w:rsid w:val="003F5721"/>
    <w:rPr>
      <w:rFonts w:ascii="Times New Roman" w:eastAsia="Times New Roman" w:hAnsi="Times New Roman" w:cs="Times New Roman"/>
      <w:kern w:val="28"/>
      <w:szCs w:val="20"/>
    </w:rPr>
  </w:style>
  <w:style w:type="character" w:customStyle="1" w:styleId="ListAlphaLowerChar">
    <w:name w:val="List Alpha Lower Char"/>
    <w:link w:val="ListAlphaLower"/>
    <w:rsid w:val="003F5721"/>
    <w:rPr>
      <w:rFonts w:ascii="Times New Roman" w:eastAsia="Times New Roman" w:hAnsi="Times New Roman" w:cs="Times New Roman"/>
      <w:kern w:val="28"/>
      <w:szCs w:val="20"/>
    </w:rPr>
  </w:style>
  <w:style w:type="character" w:customStyle="1" w:styleId="LEGALREFINDENTChar">
    <w:name w:val="LEGAL REF INDENT Char"/>
    <w:link w:val="LEGALREFINDENT"/>
    <w:rsid w:val="003F5721"/>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3F5721"/>
    <w:pPr>
      <w:numPr>
        <w:numId w:val="1"/>
      </w:numPr>
      <w:contextualSpacing/>
    </w:pPr>
  </w:style>
  <w:style w:type="paragraph" w:styleId="Footer">
    <w:name w:val="footer"/>
    <w:basedOn w:val="Normal"/>
    <w:link w:val="FooterChar"/>
    <w:unhideWhenUsed/>
    <w:rsid w:val="003F5721"/>
    <w:pPr>
      <w:tabs>
        <w:tab w:val="center" w:pos="4680"/>
        <w:tab w:val="right" w:pos="9360"/>
      </w:tabs>
    </w:pPr>
  </w:style>
  <w:style w:type="character" w:customStyle="1" w:styleId="FooterChar">
    <w:name w:val="Footer Char"/>
    <w:basedOn w:val="DefaultParagraphFont"/>
    <w:link w:val="Footer"/>
    <w:rsid w:val="003F5721"/>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06BA2-F439-4F52-A520-77FEB86F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1878</Words>
  <Characters>10706</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2022-05-23T18:44:00Z</dcterms:created>
  <dcterms:modified xsi:type="dcterms:W3CDTF">2022-05-23T18:44:00Z</dcterms:modified>
</cp:coreProperties>
</file>